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34" w:rsidRDefault="00CF024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shd w:val="clear" w:color="auto" w:fill="FFFF00"/>
        <w:rPr>
          <w:rFonts w:ascii="Consolas" w:eastAsia="Consolas" w:hAnsi="Consolas" w:cs="Consolas"/>
          <w:color w:val="000000"/>
          <w:highlight w:val="yellow"/>
        </w:rPr>
      </w:pPr>
      <w:bookmarkStart w:id="0" w:name="_GoBack"/>
      <w:bookmarkEnd w:id="0"/>
      <w:r>
        <w:rPr>
          <w:rFonts w:ascii="Consolas" w:eastAsia="Consolas" w:hAnsi="Consolas" w:cs="Consolas"/>
          <w:color w:val="000000"/>
          <w:highlight w:val="yellow"/>
        </w:rPr>
        <w:t>Notas Explicativas:</w:t>
      </w:r>
    </w:p>
    <w:p w:rsidR="00DD3A34" w:rsidRDefault="00CF024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shd w:val="clear" w:color="auto" w:fill="FFFF00"/>
        <w:rPr>
          <w:rFonts w:ascii="Consolas" w:eastAsia="Consolas" w:hAnsi="Consolas" w:cs="Consolas"/>
          <w:color w:val="000000"/>
          <w:highlight w:val="yellow"/>
        </w:rPr>
      </w:pPr>
      <w:r>
        <w:rPr>
          <w:rFonts w:ascii="Consolas" w:eastAsia="Consolas" w:hAnsi="Consolas" w:cs="Consolas"/>
          <w:color w:val="000000"/>
          <w:highlight w:val="yellow"/>
        </w:rPr>
        <w:t>As Notas Explicativas constam distribuídas no corpo deste documento apenas para auxiliar no adequado preenchimento da minuta padronizada, portanto, deverão ser suprimidas quando finalizada tal tarefa.</w:t>
      </w:r>
    </w:p>
    <w:p w:rsidR="00DD3A34" w:rsidRDefault="00CF024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shd w:val="clear" w:color="auto" w:fill="FFFF00"/>
        <w:rPr>
          <w:rFonts w:ascii="Consolas" w:eastAsia="Consolas" w:hAnsi="Consolas" w:cs="Consolas"/>
          <w:color w:val="000000"/>
        </w:rPr>
      </w:pPr>
      <w:r>
        <w:rPr>
          <w:rFonts w:ascii="Consolas" w:eastAsia="Consolas" w:hAnsi="Consolas" w:cs="Consolas"/>
          <w:color w:val="000000"/>
          <w:u w:val="single"/>
        </w:rPr>
        <w:t>Supressão automática das notas explicativas</w:t>
      </w:r>
      <w:r>
        <w:rPr>
          <w:rFonts w:ascii="Consolas" w:eastAsia="Consolas" w:hAnsi="Consolas" w:cs="Consolas"/>
          <w:color w:val="000000"/>
        </w:rPr>
        <w:t>: Use o atalho Ctrl+Shift+1. Faça isso apenas ao final, para elaborar a minuta seguindo as orientações. Não contará com esta funcionalidade o usuário que optar por não habilitar macros.</w:t>
      </w:r>
    </w:p>
    <w:p w:rsidR="00DD3A34" w:rsidRDefault="00CF024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shd w:val="clear" w:color="auto" w:fill="FFFF00"/>
        <w:rPr>
          <w:rFonts w:ascii="Consolas" w:eastAsia="Consolas" w:hAnsi="Consolas" w:cs="Consolas"/>
          <w:color w:val="000000"/>
          <w:highlight w:val="yellow"/>
        </w:rPr>
      </w:pPr>
      <w:r>
        <w:rPr>
          <w:rFonts w:ascii="Consolas" w:eastAsia="Consolas" w:hAnsi="Consolas" w:cs="Consolas"/>
          <w:color w:val="000000"/>
          <w:highlight w:val="yellow"/>
        </w:rPr>
        <w:t xml:space="preserve">Na </w:t>
      </w:r>
      <w:r>
        <w:rPr>
          <w:rFonts w:ascii="Consolas" w:eastAsia="Consolas" w:hAnsi="Consolas" w:cs="Consolas"/>
          <w:color w:val="000000"/>
          <w:highlight w:val="yellow"/>
          <w:u w:val="single"/>
        </w:rPr>
        <w:t>formatação de texto novo</w:t>
      </w:r>
      <w:r>
        <w:rPr>
          <w:rFonts w:ascii="Consolas" w:eastAsia="Consolas" w:hAnsi="Consolas" w:cs="Consolas"/>
          <w:color w:val="000000"/>
          <w:highlight w:val="yellow"/>
        </w:rPr>
        <w:t xml:space="preserve"> (fonte, parágrafo), e inclusive para a numeração automática (1.1, 1.1.1, ...) utilize preferencialmente os “Estilos” que acompanham o documento, quais sejam: N 1.1, N 1.1.1, N 1.1.1.1, N abc, PGE-Normal, Título 1 (com numeração), Título 2 (sem numeração), Título (para Anexos). Encontre-os, p. ex., no Word 2013 e versões mais recentes, na guia “Página Inicial”, na galeria “Estilos”.</w:t>
      </w:r>
    </w:p>
    <w:p w:rsidR="00DD3A34" w:rsidRDefault="00CF024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shd w:val="clear" w:color="auto" w:fill="FFFF00"/>
        <w:rPr>
          <w:rFonts w:ascii="Consolas" w:eastAsia="Consolas" w:hAnsi="Consolas" w:cs="Consolas"/>
          <w:color w:val="000000"/>
        </w:rPr>
      </w:pPr>
      <w:r>
        <w:rPr>
          <w:rFonts w:ascii="Consolas" w:eastAsia="Consolas" w:hAnsi="Consolas" w:cs="Consolas"/>
          <w:color w:val="000000"/>
          <w:highlight w:val="yellow"/>
        </w:rPr>
        <w:t xml:space="preserve">Para </w:t>
      </w:r>
      <w:r>
        <w:rPr>
          <w:rFonts w:ascii="Consolas" w:eastAsia="Consolas" w:hAnsi="Consolas" w:cs="Consolas"/>
          <w:color w:val="000000"/>
          <w:highlight w:val="yellow"/>
          <w:u w:val="single"/>
        </w:rPr>
        <w:t>navegar mais rapidamente neste documento</w:t>
      </w:r>
      <w:r>
        <w:rPr>
          <w:rFonts w:ascii="Consolas" w:eastAsia="Consolas" w:hAnsi="Consolas" w:cs="Consolas"/>
          <w:color w:val="000000"/>
          <w:highlight w:val="yellow"/>
        </w:rPr>
        <w:t>, utilize a estrutura de títulos. No Word 2013 e versões mais recentes, p. ex., utilize o Localizar (</w:t>
      </w:r>
      <w:proofErr w:type="spellStart"/>
      <w:r>
        <w:rPr>
          <w:rFonts w:ascii="Consolas" w:eastAsia="Consolas" w:hAnsi="Consolas" w:cs="Consolas"/>
          <w:color w:val="000000"/>
          <w:highlight w:val="yellow"/>
        </w:rPr>
        <w:t>Ctrl+L</w:t>
      </w:r>
      <w:proofErr w:type="spellEnd"/>
      <w:r>
        <w:rPr>
          <w:rFonts w:ascii="Consolas" w:eastAsia="Consolas" w:hAnsi="Consolas" w:cs="Consolas"/>
          <w:color w:val="000000"/>
          <w:highlight w:val="yellow"/>
        </w:rPr>
        <w:t>) e a guia “Títulos”.</w:t>
      </w:r>
    </w:p>
    <w:p w:rsidR="00DD3A34" w:rsidRDefault="00DD3A34">
      <w:pPr>
        <w:pStyle w:val="Ttulo"/>
      </w:pPr>
    </w:p>
    <w:p w:rsidR="00DD3A34" w:rsidRDefault="00CF0245">
      <w:pPr>
        <w:pStyle w:val="Ttulo"/>
      </w:pPr>
      <w:r>
        <w:t>MINUTA DE TERMO DE CONTRATO</w:t>
      </w:r>
    </w:p>
    <w:p w:rsidR="00DD3A34" w:rsidRDefault="00DD3A34"/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Contrato nº ___/_____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Pregão nº ___/_____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Processo nº ____________</w:t>
      </w:r>
    </w:p>
    <w:p w:rsidR="00DD3A34" w:rsidRDefault="00DD3A34"/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</w:rPr>
      </w:pPr>
      <w:r>
        <w:rPr>
          <w:color w:val="000000"/>
        </w:rPr>
        <w:t xml:space="preserve">TERMO DE CONTRATO QUE ENTRE SI FAZEM O ESTADO DO ESPÍRITO SANTO, POR INTERMÉDIO DO (NOME DO ÓRGÃO) E A EMPRESA ....................................... PARA A PRESTAÇÃO DE SERVIÇOS DE </w:t>
      </w:r>
      <w:r w:rsidRPr="006D5111">
        <w:rPr>
          <w:color w:val="000000"/>
          <w:highlight w:val="yellow"/>
        </w:rPr>
        <w:t>................... (DESCREVER O SERVIÇO).</w:t>
      </w: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 ESTADO DO ESPÍRITO SANTO, por intermédio da ________(nome do órgão)_________, adiante denominada CONTRATANTE, órgão da Administração Direta do Poder Executivo, inscrita no CNPJ sob o nº ________________, com sede na _________ (endereço completo) _________, representada legalmente pelo seu  (Secretário / Dirigente do órgão ) ________(nome, nacionalidade, estado civil, profissão)_________, CPF/MF no ________________, residente e domiciliado ________(endereço completo)________, e a Empresa _____________________, </w:t>
      </w:r>
      <w:r>
        <w:rPr>
          <w:color w:val="000000"/>
        </w:rPr>
        <w:lastRenderedPageBreak/>
        <w:t xml:space="preserve">doravante denominada CONTRATADA, com sede ________(endereço completo)________, inscrita no CNPJ sob o nº ________________ neste ato representada pelo ________(condição jurídica do representante)________ Sr. _________(nome, nacionalidade, estado civil, profissão)__________ ajustam o presente CONTRATO DE PRESTAÇÃO DE SERVIÇOS, nos termos da Lei 8.666/1993, </w:t>
      </w:r>
      <w:r w:rsidR="00A82A54" w:rsidRPr="0092484F">
        <w:rPr>
          <w:b/>
        </w:rPr>
        <w:t>Lei Complementar Estadual 946/20, e Lei Federal 13.979/20, com as alterações introduzidas pela MP 926/20</w:t>
      </w:r>
      <w:r w:rsidRPr="0092484F">
        <w:rPr>
          <w:b/>
        </w:rPr>
        <w:t>,</w:t>
      </w:r>
      <w:r>
        <w:t xml:space="preserve"> </w:t>
      </w:r>
      <w:r>
        <w:rPr>
          <w:color w:val="000000"/>
        </w:rPr>
        <w:t>de acordo com os termos do processo acima mencionado, parte integrante deste instrumento independente de transcrição, juntamente com a Proposta apresentada pela CONTRATADA, ficando, porém, ressalvadas como não transcritas as condições nela estipuladas que contrariem as disposições deste CONTRATO, que se regerá pelas Cláusulas Seguintes.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PRIMEIRA: DO OBJETO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 presente Contrato tem por objeto a prestação de serviços de </w:t>
      </w:r>
      <w:r w:rsidRPr="00A82A54">
        <w:rPr>
          <w:color w:val="000000"/>
          <w:highlight w:val="yellow"/>
        </w:rPr>
        <w:t>(DESCREVER O SERVIÇO),</w:t>
      </w:r>
      <w:r>
        <w:rPr>
          <w:color w:val="000000"/>
        </w:rPr>
        <w:t xml:space="preserve"> conforme discriminado no Anexo I do Edital.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Integram este Contrato, como partes indissociáveis e independentemente de transcrição, os seguintes anexos:</w:t>
      </w:r>
    </w:p>
    <w:p w:rsidR="00DD3A34" w:rsidRPr="0092484F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r w:rsidRPr="0092484F">
        <w:t>Termo de Referência</w:t>
      </w:r>
      <w:r w:rsidR="00A82A54" w:rsidRPr="0092484F">
        <w:t xml:space="preserve"> Simplificado</w:t>
      </w:r>
      <w:r w:rsidR="00093C16" w:rsidRPr="0092484F">
        <w:t xml:space="preserve"> – Anexo I</w:t>
      </w:r>
      <w:r w:rsidR="00A82A54" w:rsidRPr="0092484F">
        <w:t xml:space="preserve"> (4º da Lei Complementar Estadual 946/20 e </w:t>
      </w:r>
      <w:r w:rsidRPr="0092484F">
        <w:t>art. 4º-E da Lei 13.979/20</w:t>
      </w:r>
      <w:r w:rsidR="00A82A54" w:rsidRPr="0092484F">
        <w:t xml:space="preserve">, </w:t>
      </w:r>
      <w:r w:rsidRPr="0092484F">
        <w:t>incluído pela Medida Provisória 926/20</w:t>
      </w:r>
      <w:r w:rsidR="006D5111" w:rsidRPr="0092484F">
        <w:t>)</w:t>
      </w:r>
      <w:r w:rsidRPr="0092484F">
        <w:t xml:space="preserve">. 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(b) Proposta Comercial da Contratada.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SEGUNDA: DO REGIME DE EXECUÇÃO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Fica estabelecido o regime de execução indireta, sob a modalidade empreitada por preço unitário, nos termos do art. 10, II, b”, da Lei 8.666/1993.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TERCEIRA: DO PREÇO, DA REVISÃO E DO REAJUSTE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Pelo serviço contratado, o Contratante pagará mensalmente à Contratada os serviços efetivamente realizados no mês anterior, considerando o quantitativo contratado para o período de vigência indicado na Cláusula Quinta e os preços </w:t>
      </w:r>
      <w:r w:rsidRPr="0092484F">
        <w:rPr>
          <w:color w:val="000000"/>
        </w:rPr>
        <w:t>unitários i</w:t>
      </w:r>
      <w:r w:rsidR="00A82A54" w:rsidRPr="0092484F">
        <w:rPr>
          <w:color w:val="000000"/>
        </w:rPr>
        <w:t>ndicados no Termo de Referência</w:t>
      </w:r>
      <w:r w:rsidRPr="0092484F">
        <w:rPr>
          <w:color w:val="000000"/>
        </w:rPr>
        <w:t xml:space="preserve">  abaixo, de acordo com a Proposta Comercial </w:t>
      </w:r>
      <w:r w:rsidR="00A82A54" w:rsidRPr="0092484F">
        <w:rPr>
          <w:color w:val="000000"/>
        </w:rPr>
        <w:t>apresentada pela Contratada</w:t>
      </w:r>
      <w:r w:rsidRPr="0092484F">
        <w:rPr>
          <w:color w:val="000000"/>
        </w:rPr>
        <w:t>,</w:t>
      </w:r>
      <w:r w:rsidRPr="00A82A54">
        <w:rPr>
          <w:color w:val="000000"/>
        </w:rPr>
        <w:t xml:space="preserve"> </w:t>
      </w:r>
      <w:r>
        <w:rPr>
          <w:color w:val="000000"/>
        </w:rPr>
        <w:t>nos quais deverão estar inclusos todas as espécies de tributos, diretos e indiretos, encargos sociais, seguros, fretes, material, mão-de-obra, instalações e quaisquer despesas inerentes à execução do objeto contratual.</w:t>
      </w: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strike/>
          <w:color w:val="000000"/>
        </w:rPr>
      </w:pPr>
    </w:p>
    <w:tbl>
      <w:tblPr>
        <w:tblStyle w:val="a"/>
        <w:tblW w:w="6764" w:type="dxa"/>
        <w:tblInd w:w="2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695"/>
        <w:gridCol w:w="1691"/>
        <w:gridCol w:w="1691"/>
      </w:tblGrid>
      <w:tr w:rsidR="00DD3A34">
        <w:trPr>
          <w:trHeight w:val="322"/>
        </w:trPr>
        <w:tc>
          <w:tcPr>
            <w:tcW w:w="687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>Item</w:t>
            </w:r>
          </w:p>
        </w:tc>
        <w:tc>
          <w:tcPr>
            <w:tcW w:w="2695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>Identificação do serviço</w:t>
            </w:r>
          </w:p>
        </w:tc>
        <w:tc>
          <w:tcPr>
            <w:tcW w:w="1691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 xml:space="preserve">Quantitativo contratado </w:t>
            </w:r>
          </w:p>
        </w:tc>
        <w:tc>
          <w:tcPr>
            <w:tcW w:w="1691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>Preço unitário</w:t>
            </w:r>
          </w:p>
        </w:tc>
      </w:tr>
      <w:tr w:rsidR="00DD3A34">
        <w:trPr>
          <w:trHeight w:val="460"/>
        </w:trPr>
        <w:tc>
          <w:tcPr>
            <w:tcW w:w="687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>1</w:t>
            </w:r>
          </w:p>
        </w:tc>
        <w:tc>
          <w:tcPr>
            <w:tcW w:w="2695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  <w:tc>
          <w:tcPr>
            <w:tcW w:w="1691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  <w:tc>
          <w:tcPr>
            <w:tcW w:w="1691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</w:tr>
      <w:tr w:rsidR="00DD3A34">
        <w:trPr>
          <w:trHeight w:val="535"/>
        </w:trPr>
        <w:tc>
          <w:tcPr>
            <w:tcW w:w="687" w:type="dxa"/>
          </w:tcPr>
          <w:p w:rsidR="00DD3A34" w:rsidRPr="00A82A54" w:rsidRDefault="00CF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A82A54">
              <w:rPr>
                <w:color w:val="000000"/>
              </w:rPr>
              <w:t>2</w:t>
            </w:r>
          </w:p>
        </w:tc>
        <w:tc>
          <w:tcPr>
            <w:tcW w:w="2695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  <w:tc>
          <w:tcPr>
            <w:tcW w:w="1691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  <w:tc>
          <w:tcPr>
            <w:tcW w:w="1691" w:type="dxa"/>
          </w:tcPr>
          <w:p w:rsidR="00DD3A34" w:rsidRDefault="00DD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trike/>
                <w:color w:val="000000"/>
              </w:rPr>
            </w:pPr>
          </w:p>
        </w:tc>
      </w:tr>
    </w:tbl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Em caso de desequilíbrio da equação econômico-financeira, serão adotados os critérios de revisão ou reajustamento, conforme o caso, como forma de restabelecer as condições originalmente pactuadas.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revisão poderá ocorrer a qualquer tempo da vigência contratual, desde que a parte interessada comprove a ocorrência de fato imprevisível, superveniente à formalização da proposta, que importe, diretamente, em majoração ou minoração de seus encargos.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Em caso de revisão, a alteração do preço ajustado, além de obedecer aos requisitos referidos no item anterior, deverá ocorrer de forma proporcional à modificação dos encargos, comprovada minuciosamente por meio de memória de cálculo a ser apresentada pela parte interessada.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Dentre os fatos ensejadores da revisão, não se incluem aqueles eventos dotados de previsibilidade, cujo caráter possibilite à parte interessada a sua aferição ao tempo da formulação/aceitação da proposta, bem como aqueles decorrentes exclusivamente da variação inflacionária, uma vez que inseridos, estes últimos, na hipótese de reajustamento.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Não será concedida a revisão quando: 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ausente</w:t>
      </w:r>
      <w:proofErr w:type="gramEnd"/>
      <w:r>
        <w:rPr>
          <w:color w:val="000000"/>
        </w:rPr>
        <w:t xml:space="preserve"> a elevação de encargos alegada pela parte interessada; 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o</w:t>
      </w:r>
      <w:proofErr w:type="gramEnd"/>
      <w:r>
        <w:rPr>
          <w:color w:val="000000"/>
        </w:rPr>
        <w:t xml:space="preserve"> evento imputado como causa de desequilíbrio houver ocorrido antes da formulação da proposta definitiva ou após a finalização da vigência do contrato;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ausente</w:t>
      </w:r>
      <w:proofErr w:type="gramEnd"/>
      <w:r>
        <w:rPr>
          <w:color w:val="000000"/>
        </w:rPr>
        <w:t xml:space="preserve"> o nexo de causalidade entre o evento ocorrido e a majoração dos encargos atribuídos à parte interessada;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parte interessada houver incorrido em culpa pela majoração de seus próprios encargos, incluindo-se, nesse âmbito, a previsibilidade da ocorrência do evento.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houver</w:t>
      </w:r>
      <w:proofErr w:type="gramEnd"/>
      <w:r>
        <w:rPr>
          <w:color w:val="000000"/>
        </w:rPr>
        <w:t xml:space="preserve"> alteração do regime jurídico-tributário da Contratada, ressalvada a hipótese de superveniente determinação legal.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revisão será efetuada por meio de aditamento contratual, precedida de análise pela Secretaria de Estado de Controle e Transparência – SECONT e Procuradoria Geral do Estado.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reajuste será adotado, obrigatoriamente, como forma de compensação dos efeitos das variações inflacionárias, desde que decorrido 12 (doze) meses, a contar d</w:t>
      </w:r>
      <w:r w:rsidR="00A82A54">
        <w:rPr>
          <w:color w:val="000000"/>
        </w:rPr>
        <w:t xml:space="preserve">a data da apresentação da </w:t>
      </w:r>
      <w:r>
        <w:rPr>
          <w:color w:val="000000"/>
        </w:rPr>
        <w:t>proposta comercial apresentada ou da data do último reajustamento, de acordo com a Lei nº 10.192, de 14 de fevereiro de 2001.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reajuste do preço contratado levará em consideração o Índice Nacional de Preços ao Consumidor - INPC, divulgado pelo Instituto Brasileiro de Geografia e Estatística - IBGE, ou outro índice que vier a substituí-lo.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Compete à Contratada a iniciativa e o encargo do cálculo minucioso de cada reajuste a ser aprovado pelo Contratante, juntando-se a respectiva discriminação dos serviços e memorial de cálculo do reajuste, e demais documentos comprobatórios do reajuste pleiteado.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O reajuste será efetuado por meio de simples </w:t>
      </w:r>
      <w:proofErr w:type="spellStart"/>
      <w:r>
        <w:rPr>
          <w:color w:val="000000"/>
        </w:rPr>
        <w:t>apostilamento</w:t>
      </w:r>
      <w:proofErr w:type="spellEnd"/>
      <w:r>
        <w:rPr>
          <w:color w:val="000000"/>
        </w:rPr>
        <w:t>, nos termos do art. 65, § 8º, da Lei 8.666/1993, dispensada a análise prévia pela Procuradoria Geral do Estado.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criação, alteração ou extinção de quaisquer tributos, quando ocorridas após a data de apresentação da proposta definitiva e desde que acarretem comprovada repercussão no equilíbrio econômico-financeiro deste contrato, implicarão a revisão de preços para mais ou para menos, adotando-se como índice de correção a alíquota prevista na lei respectiva.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As revisões e reajustes a que o contratado </w:t>
      </w:r>
      <w:proofErr w:type="spellStart"/>
      <w:r>
        <w:rPr>
          <w:color w:val="000000"/>
        </w:rPr>
        <w:t>fizer</w:t>
      </w:r>
      <w:proofErr w:type="spellEnd"/>
      <w:r>
        <w:rPr>
          <w:color w:val="000000"/>
        </w:rPr>
        <w:t xml:space="preserve"> jus, mas que não forem requeridas formalmente durante a vigência deste Contrato serão consideradas renunciadas com a assinatura da prorrogação contratual com base no art. 57, II, da Lei 8.666/1993, ou com o encerramento do Contrato.  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caso de prorrogação deste Contrato sem expressa ressalva no respectivo Termo Aditivo do direito da Contratada ao recebimento da importância devida à título de reajuste ou revisão, em qualquer de suas hipóteses, relativa a período anterior a sua assinatura, caracterizará renúncia irretratável a esse direito.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QUARTA: DAS CONDIÇÕES DE PAGAMENTO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Contratante pagará à Contratada pelos serviços efetivamente prestados no mês de referência,</w:t>
      </w:r>
      <w:r>
        <w:t xml:space="preserve"> vedada a antecipação</w:t>
      </w:r>
      <w:r>
        <w:rPr>
          <w:color w:val="000000"/>
        </w:rPr>
        <w:t>, na forma que segue.</w:t>
      </w:r>
    </w:p>
    <w:p w:rsidR="005C2855" w:rsidRPr="0092484F" w:rsidRDefault="00CF0245" w:rsidP="005C2855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FFFF00"/>
        <w:rPr>
          <w:rFonts w:ascii="Consolas" w:eastAsia="Consolas" w:hAnsi="Consolas" w:cs="Consolas"/>
        </w:rPr>
      </w:pPr>
      <w:r w:rsidRPr="0092484F">
        <w:rPr>
          <w:rFonts w:ascii="Consolas" w:eastAsia="Consolas" w:hAnsi="Consolas" w:cs="Consolas"/>
        </w:rPr>
        <w:t>Notas Explicativas: Havendo justificativa prestada pela autoridade competente,</w:t>
      </w:r>
      <w:r w:rsidR="005C2855" w:rsidRPr="0092484F">
        <w:rPr>
          <w:rFonts w:ascii="Consolas" w:eastAsia="Consolas" w:hAnsi="Consolas" w:cs="Consolas"/>
        </w:rPr>
        <w:t xml:space="preserve"> declarada formalmente,</w:t>
      </w:r>
      <w:r w:rsidRPr="0092484F">
        <w:rPr>
          <w:rFonts w:ascii="Consolas" w:eastAsia="Consolas" w:hAnsi="Consolas" w:cs="Consolas"/>
        </w:rPr>
        <w:t xml:space="preserve"> o artigo 11 da Lei Complementar Estadual 946/20 autoriza o pagamento antecipado de 50% (cinquenta por cento do valor da contratação)</w:t>
      </w:r>
      <w:r w:rsidR="005C2855" w:rsidRPr="0092484F">
        <w:rPr>
          <w:rFonts w:ascii="Consolas" w:eastAsia="Consolas" w:hAnsi="Consolas" w:cs="Consolas"/>
        </w:rPr>
        <w:t>, que deverá corresponder somente à parcela mensal</w:t>
      </w:r>
      <w:r w:rsidR="00F61AD2" w:rsidRPr="0092484F">
        <w:rPr>
          <w:rFonts w:ascii="Consolas" w:eastAsia="Consolas" w:hAnsi="Consolas" w:cs="Consolas"/>
        </w:rPr>
        <w:t>.</w:t>
      </w:r>
      <w:r w:rsidRPr="0092484F">
        <w:rPr>
          <w:rFonts w:ascii="Consolas" w:eastAsia="Consolas" w:hAnsi="Consolas" w:cs="Consolas"/>
        </w:rPr>
        <w:t xml:space="preserve"> </w:t>
      </w:r>
    </w:p>
    <w:p w:rsidR="006D5111" w:rsidRPr="0092484F" w:rsidRDefault="00CF0245" w:rsidP="00A02B80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FFFF00"/>
        <w:rPr>
          <w:rFonts w:ascii="Consolas" w:eastAsia="Consolas" w:hAnsi="Consolas" w:cs="Consolas"/>
        </w:rPr>
      </w:pPr>
      <w:r w:rsidRPr="0092484F">
        <w:rPr>
          <w:rFonts w:ascii="Consolas" w:eastAsia="Consolas" w:hAnsi="Consolas" w:cs="Consolas"/>
        </w:rPr>
        <w:t>Nota Explicativa:</w:t>
      </w:r>
      <w:r w:rsidR="005C2855" w:rsidRPr="0092484F">
        <w:rPr>
          <w:rFonts w:ascii="Consolas" w:eastAsia="Consolas" w:hAnsi="Consolas" w:cs="Consolas"/>
        </w:rPr>
        <w:t xml:space="preserve"> Havendo justificativa prestada pela autoridade competente, declarada formalmente, o parágrafo único do artigo 11 da Lei Complementar Estadual 946/20,</w:t>
      </w:r>
      <w:r w:rsidRPr="0092484F">
        <w:rPr>
          <w:rFonts w:ascii="Consolas" w:eastAsia="Consolas" w:hAnsi="Consolas" w:cs="Consolas"/>
        </w:rPr>
        <w:t xml:space="preserve"> </w:t>
      </w:r>
      <w:r w:rsidR="005C2855" w:rsidRPr="0092484F">
        <w:rPr>
          <w:rFonts w:ascii="Consolas" w:eastAsia="Consolas" w:hAnsi="Consolas" w:cs="Consolas"/>
        </w:rPr>
        <w:t xml:space="preserve">autoriza a </w:t>
      </w:r>
      <w:r w:rsidRPr="0092484F">
        <w:rPr>
          <w:rFonts w:ascii="Consolas" w:eastAsia="Consolas" w:hAnsi="Consolas" w:cs="Consolas"/>
        </w:rPr>
        <w:t>ant</w:t>
      </w:r>
      <w:r w:rsidR="005C2855" w:rsidRPr="0092484F">
        <w:rPr>
          <w:rFonts w:ascii="Consolas" w:eastAsia="Consolas" w:hAnsi="Consolas" w:cs="Consolas"/>
        </w:rPr>
        <w:t>ecipação integral do pagamento, que deverá corresponder somente à parcela mensal.</w:t>
      </w:r>
    </w:p>
    <w:p w:rsidR="00A02B80" w:rsidRDefault="00A02B80" w:rsidP="00A02B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Contratante pagará à Contratada até o décimo dia útil após a apresentação da Nota Fiscal/Fatura correspondente, devidamente aceita pelo Contratante.</w:t>
      </w:r>
    </w:p>
    <w:p w:rsidR="00A02B80" w:rsidRDefault="00A02B80" w:rsidP="00A02B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Decorrido o prazo indicado no item anterior, incidirá multa financeira nos seguintes termos: </w:t>
      </w:r>
    </w:p>
    <w:p w:rsidR="00A02B80" w:rsidRDefault="00A02B80" w:rsidP="00A02B80">
      <w:pPr>
        <w:jc w:val="center"/>
        <w:rPr>
          <w:rFonts w:ascii="Cambria Math" w:eastAsia="Cambria Math" w:hAnsi="Cambria Math" w:cs="Cambria Math"/>
          <w:color w:val="000000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</w:rPr>
            <m:t xml:space="preserve">VM =VF X  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 xml:space="preserve">12 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100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 xml:space="preserve"> X 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ND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360</m:t>
              </m:r>
            </m:den>
          </m:f>
        </m:oMath>
      </m:oMathPara>
    </w:p>
    <w:p w:rsidR="00A02B80" w:rsidRDefault="00A02B80" w:rsidP="00A02B80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Onde:</w:t>
      </w:r>
    </w:p>
    <w:p w:rsidR="00A02B80" w:rsidRDefault="00A02B80" w:rsidP="00A02B8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134"/>
        <w:rPr>
          <w:color w:val="000000"/>
        </w:rPr>
      </w:pPr>
      <w:r>
        <w:rPr>
          <w:color w:val="000000"/>
        </w:rPr>
        <w:t>VM = Valor da Multa Financeira.</w:t>
      </w:r>
    </w:p>
    <w:p w:rsidR="00A02B80" w:rsidRDefault="00A02B80" w:rsidP="00A02B8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134"/>
        <w:rPr>
          <w:color w:val="000000"/>
        </w:rPr>
      </w:pPr>
      <w:r>
        <w:rPr>
          <w:color w:val="000000"/>
        </w:rPr>
        <w:t>VF = Valor da Nota Fiscal referente ao mês em atraso.</w:t>
      </w:r>
    </w:p>
    <w:p w:rsidR="00A02B80" w:rsidRDefault="00A02B80" w:rsidP="00A02B8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134"/>
        <w:rPr>
          <w:color w:val="000000"/>
        </w:rPr>
      </w:pPr>
      <w:r>
        <w:rPr>
          <w:color w:val="000000"/>
        </w:rPr>
        <w:t>ND = Número de dias em atraso.</w:t>
      </w:r>
    </w:p>
    <w:p w:rsidR="00DD3A34" w:rsidRPr="00B32133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 pagamento far-se-á por meio de uma única fatura mensal.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Incumbirão à Contratada a iniciativa e o encargo do cálculo minucioso da fatura devida, a ser revisto e aprovado pela Contratante, juntando-se à respectiva discriminação dos serviços efetuados, o memorial de cálculo da fatura.</w:t>
      </w:r>
    </w:p>
    <w:p w:rsidR="00F61AD2" w:rsidRDefault="00CF0245" w:rsidP="00F61A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liquidação das despesas obedecerá, rigorosamente o, estabelecido na Lei 4.320/1964, assim como na Lei Estadual 2.583/1971.</w:t>
      </w:r>
    </w:p>
    <w:p w:rsidR="00833106" w:rsidRPr="00833106" w:rsidRDefault="00CF0245" w:rsidP="008331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 houver alguma incorreção na Nota Fiscal/Fatura, a mesma será devolvida à Contratada para correção, ficando estabelecido que o prazo para pagamento será contado a partir da data de apresentação na nova Nota Fiscal/Fatura, sem qualquer ônus ou corr</w:t>
      </w:r>
      <w:r w:rsidRPr="00833106">
        <w:rPr>
          <w:color w:val="000000"/>
        </w:rPr>
        <w:t>eção a ser paga pela Contratante.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QUINTA: DO PRAZO DE VIGÊNCIA CONTRATUAL</w:t>
      </w:r>
    </w:p>
    <w:p w:rsidR="00DD3A34" w:rsidRPr="00A82A5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 prazo de vigência contratual terá início no dia subsequente ao da publicação do resumo do contrato no Diário Oficial e terá duração de ____ (_____________) meses.</w:t>
      </w:r>
      <w:r w:rsidR="00A82A54">
        <w:rPr>
          <w:color w:val="000000"/>
        </w:rPr>
        <w:t xml:space="preserve"> </w:t>
      </w:r>
    </w:p>
    <w:p w:rsidR="00DD3A34" w:rsidRPr="0092484F" w:rsidRDefault="00A82A54" w:rsidP="006D5111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hd w:val="clear" w:color="auto" w:fill="FFFF00"/>
        <w:rPr>
          <w:rFonts w:ascii="Consolas" w:eastAsia="Consolas" w:hAnsi="Consolas" w:cs="Consolas"/>
        </w:rPr>
      </w:pPr>
      <w:r w:rsidRPr="0092484F">
        <w:rPr>
          <w:rFonts w:ascii="Consolas" w:eastAsia="Consolas" w:hAnsi="Consolas" w:cs="Consolas"/>
        </w:rPr>
        <w:t xml:space="preserve">Nota Explicativa: </w:t>
      </w:r>
      <w:r w:rsidR="005B175D" w:rsidRPr="0092484F">
        <w:rPr>
          <w:rFonts w:ascii="Consolas" w:eastAsia="Consolas" w:hAnsi="Consolas" w:cs="Consolas"/>
        </w:rPr>
        <w:t xml:space="preserve">O prazo de vigência não poderá ser superior a 6 (seis) meses </w:t>
      </w:r>
      <w:r w:rsidR="005B175D" w:rsidRPr="0092484F">
        <w:rPr>
          <w:rFonts w:ascii="Consolas" w:hAnsi="Consolas"/>
        </w:rPr>
        <w:t xml:space="preserve">nos termos do art. 12 da Lei Complementar Estadual 946/20 e art. 4º-H da Lei 13.979/20 (incluído pela Medida Provisória 926/20) </w:t>
      </w:r>
    </w:p>
    <w:p w:rsidR="00DD3A34" w:rsidRPr="0092484F" w:rsidRDefault="006D5111">
      <w:pPr>
        <w:numPr>
          <w:ilvl w:val="1"/>
          <w:numId w:val="3"/>
        </w:numPr>
      </w:pPr>
      <w:r w:rsidRPr="0092484F">
        <w:t>O prazo de</w:t>
      </w:r>
      <w:r w:rsidR="00C738CF" w:rsidRPr="0092484F">
        <w:t xml:space="preserve"> vigência do contrato poderá</w:t>
      </w:r>
      <w:r w:rsidRPr="0092484F">
        <w:t xml:space="preserve"> ser prorrogado</w:t>
      </w:r>
      <w:r w:rsidR="00C738CF" w:rsidRPr="0092484F">
        <w:t>,</w:t>
      </w:r>
      <w:r w:rsidR="00CF0245" w:rsidRPr="0092484F">
        <w:t xml:space="preserve"> por períodos sucessivos, enquanto perdurar a necessidade de enfrentamento dos efeitos da situação de emergência de saúde pública, mediante justificativa formal da autoridade competente do órgão contratante, na forma do</w:t>
      </w:r>
      <w:r w:rsidR="00C738CF" w:rsidRPr="0092484F">
        <w:t xml:space="preserve"> art. 12 da Lei Complementar Estadual 946/20 e</w:t>
      </w:r>
      <w:r w:rsidR="00CF0245" w:rsidRPr="0092484F">
        <w:t xml:space="preserve"> art. 4º-H da </w:t>
      </w:r>
      <w:proofErr w:type="spellStart"/>
      <w:r w:rsidR="00CF0245" w:rsidRPr="0092484F">
        <w:t>da</w:t>
      </w:r>
      <w:proofErr w:type="spellEnd"/>
      <w:r w:rsidR="00CF0245" w:rsidRPr="0092484F">
        <w:t xml:space="preserve"> Lei 13.979/20 (incluído pel</w:t>
      </w:r>
      <w:r w:rsidR="00C738CF" w:rsidRPr="0092484F">
        <w:t>a Medida Provisória 926/20)</w:t>
      </w:r>
      <w:r w:rsidR="00CF0245" w:rsidRPr="0092484F">
        <w:t xml:space="preserve">.  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SEXTA: DA DOTAÇÃO ORÇAMENTÁRIA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Os recursos necessários ao pagamento das despesas inerentes a este Contrato correrão na atividade __________________, Elemento </w:t>
      </w:r>
      <w:proofErr w:type="gramStart"/>
      <w:r>
        <w:rPr>
          <w:color w:val="000000"/>
        </w:rPr>
        <w:t>Despesa  _</w:t>
      </w:r>
      <w:proofErr w:type="gramEnd"/>
      <w:r>
        <w:rPr>
          <w:color w:val="000000"/>
        </w:rPr>
        <w:t>_________________, do orçamento do _______(sigla do Órgão)______ para o exercício de ________.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SÉTIMA: DA GARANTIA DE EXECUÇÃO CONTRATUAL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CONTRATADA prestará garantia de execução contratual no valor de R$ _____ (_________), na modalidade de __________, correspondente a 5% (cinco por cento) do valor total do contrato, no prazo máximo de 30 (trinta) dias úteis do início de sua vigência.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Sem prejuízo das demais hipóteses previstas no contrato e na regulamentação vigente, a garantia poderá ser utilizada para o pagamento de: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Prejuízos advindos do não cumprimento do objeto do contrato;  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Prejuízos causados à Administração ou a terceiros decorrentes de culpa ou dolo durante a execução do contrato;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Multas aplicadas pela Administração à CONTRATADA;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Obrigações trabalhistas e previdenciárias de qualquer natureza, não adimplidas, quando couber.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validade da garantia, qualquer que seja a modalidade escolhida, deverá abranger um período de mais 3 (três) meses após o término da vigência contratual.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caso de alteração do valor do contrato, ou prorrogação de sua vigência, a garantia deverá ser ajustada à nova situação ou renovada, nas mesmas condições e parâmetros da contratação, evitando-se a interrupção da continuidade da cobertura pela garantia.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 o valor da garantia for utilizado total ou parcialmente, a CONTRATADA obriga-se a fazer a respectiva reposição no prazo máximo de 10 (dez) dias úteis, contados da data em que for notificada.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inobservância do prazo fixado para apresentação ou renovação da garantia acarretará a aplicação de multa de 0,2% (dois décimos por cento) do valor do contrato por dia de atraso, até o máximo de 5% (cinco por cento), o qual poderá ser glosado de pagamentos devidos.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 atraso superior a 25 (vinte e cinco) dias autoriza a Administração a promover o bloqueio dos pagamentos devidos à CONTRATADA, até o limite de 5% (cinco por cento) do valor anual do contrato, a título de garantia.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CONTRATADA, a qualquer tempo, poderá substituir o bloqueio efetuado com base nesta cláusula por quaisquer das modalidades de garantia previstas em lei, sem prejuízo da manutenção da multa aplicada.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Será considerada extinta e liberada a garantia: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Com a devolução da apólice, carta fiança ou autorização para o levantamento de importâncias depositadas em dinheiro a título de garantia, acompanhada de declaração da CONTRATANTE de que a CONTRATADA cumpriu todas as obrigações contratuais; 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prazo de 03 (três) meses após o término da vigência do contrato, caso a Administração não comunique a ocorrência de sinistros, quando o prazo será ampliado, nos termos da comunicação.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OITAVA: DAS RESPONSABILIDADES DAS PARTES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Compete à Contratada: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executar</w:t>
      </w:r>
      <w:proofErr w:type="gramEnd"/>
      <w:r>
        <w:rPr>
          <w:color w:val="000000"/>
        </w:rPr>
        <w:t xml:space="preserve"> o serviço ajustado nos termos do Anexo I;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utilizar</w:t>
      </w:r>
      <w:proofErr w:type="gramEnd"/>
      <w:r>
        <w:rPr>
          <w:color w:val="000000"/>
        </w:rPr>
        <w:t>, na execução do serviço contratado, pessoal que atenda, dentre outros, aos seguintes requisitos: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onsolas" w:eastAsia="Consolas" w:hAnsi="Consolas" w:cs="Consolas"/>
          <w:highlight w:val="yellow"/>
        </w:rPr>
      </w:pPr>
      <w:r>
        <w:rPr>
          <w:color w:val="000000"/>
        </w:rPr>
        <w:t>(b.1) qualificação para o exercício das atividades que lhe forem confiadas, na forma estabelecida no Edital e observando, também, a formação técnica exigida pelos Conselhos de Classe de fiscalização das atividades profissionais envolvidas;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lastRenderedPageBreak/>
        <w:t>(b.2) bons princípios de urbanidade;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t>(b.3) possuir vínculo formal, contratual ou empregatício, com a Contratada;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observar</w:t>
      </w:r>
      <w:proofErr w:type="gramEnd"/>
      <w:r>
        <w:rPr>
          <w:color w:val="000000"/>
        </w:rPr>
        <w:t xml:space="preserve"> a vedação da subcontratação, no todo ou em parte, dos serviços aqui ajustados, salvo autorização formal e expressa da Contratante, por prazo certo, para atender situação excepcional; 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registrar</w:t>
      </w:r>
      <w:proofErr w:type="gramEnd"/>
      <w:r>
        <w:rPr>
          <w:color w:val="000000"/>
        </w:rPr>
        <w:t xml:space="preserve"> as ocorrências havidas durante a execução do presente Contrato, de tudo dando ciência à Contratante, respondendo integralmente por sua omissão;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responsabilizar pelo perfeito funcionamento dos equipamentos necessários à execução do objeto do contrato, providenciando quando necessário a sua substituição imediata a fim de garantir a continuidade na prestação dos serviços;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manter</w:t>
      </w:r>
      <w:proofErr w:type="gramEnd"/>
      <w:r>
        <w:rPr>
          <w:color w:val="000000"/>
        </w:rPr>
        <w:t>, durante toda execução do contrato, todas as condições de habilitação e qualificação exigida na licitação;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r>
        <w:rPr>
          <w:color w:val="000000"/>
        </w:rPr>
        <w:t>Observar as disposições da Portaria SEGER nº 049-R;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r>
        <w:rPr>
          <w:color w:val="000000"/>
        </w:rPr>
        <w:t>Adotar todas as providências necessárias para regularização de seu regime tributário junto aos órgãos competentes.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Compete à Contratante: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r>
        <w:rPr>
          <w:color w:val="000000"/>
        </w:rPr>
        <w:t>Pagar, à Contratada, o preço estabelecido na Cláusula 3ª;</w:t>
      </w:r>
    </w:p>
    <w:p w:rsidR="00DD3A34" w:rsidRDefault="00CF0245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/>
      </w:pPr>
      <w:r>
        <w:rPr>
          <w:color w:val="000000"/>
        </w:rPr>
        <w:t>Designar servidor responsável pelo acompanhamento e fiscalização da execução dos serviços.</w:t>
      </w:r>
    </w:p>
    <w:p w:rsidR="00DD3A34" w:rsidRDefault="00CF0245">
      <w:pPr>
        <w:pStyle w:val="Ttulo1"/>
        <w:numPr>
          <w:ilvl w:val="0"/>
          <w:numId w:val="3"/>
        </w:numPr>
      </w:pPr>
      <w:r>
        <w:t>CLÁUSULA NONA: DAS SANÇÕES ADMINISTRATIVAS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 atraso injustificado na execução do contrato sujeitará o licitante contratado à aplicação de multa de mora, nas seguintes condições: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Fixa-se a multa de mora em 0,3 % (três décimos por cento) por dia de atraso, a incidir sobre o valor total reajustado do contrato, ou sobre o saldo reajustado não atendido, caso o contrato encontre-se parcialmente executado;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 dias de atraso serão contabilizados em conformidade com o cronograma de execução do contrato;</w:t>
      </w:r>
    </w:p>
    <w:p w:rsidR="00DD3A34" w:rsidRDefault="00CF02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aplicação da multa de mora não impede que a Administração rescinda unilateralmente o contrato e aplique as outras sanções previstas no item 10.2 deste edital e na Lei 8.666/1993.</w:t>
      </w:r>
    </w:p>
    <w:p w:rsidR="00DD3A34" w:rsidRDefault="00CF02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inexecução total ou parcial do contrato ensejará a aplicação das seguintes sanções ao licitante contratado:</w:t>
      </w:r>
    </w:p>
    <w:p w:rsidR="00DD3A34" w:rsidRDefault="00CF024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</w:pPr>
      <w:proofErr w:type="gramStart"/>
      <w:r>
        <w:rPr>
          <w:color w:val="000000"/>
        </w:rPr>
        <w:t>advertência</w:t>
      </w:r>
      <w:proofErr w:type="gramEnd"/>
      <w:r>
        <w:rPr>
          <w:color w:val="000000"/>
        </w:rPr>
        <w:t>;</w:t>
      </w:r>
    </w:p>
    <w:p w:rsidR="00DD3A34" w:rsidRDefault="00CF024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proofErr w:type="gramStart"/>
      <w:r>
        <w:rPr>
          <w:color w:val="000000"/>
        </w:rPr>
        <w:t>multa</w:t>
      </w:r>
      <w:proofErr w:type="gramEnd"/>
      <w:r>
        <w:rPr>
          <w:color w:val="000000"/>
        </w:rPr>
        <w:t xml:space="preserve"> compensatória por perdas e danos, no montante de até 10% (dez por cento) sobre o saldo contratual reajustado não executado pelo particular;</w:t>
      </w:r>
    </w:p>
    <w:p w:rsidR="00DD3A34" w:rsidRDefault="00CF024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proofErr w:type="gramStart"/>
      <w:r>
        <w:rPr>
          <w:color w:val="000000"/>
        </w:rPr>
        <w:lastRenderedPageBreak/>
        <w:t>suspensão</w:t>
      </w:r>
      <w:proofErr w:type="gramEnd"/>
      <w:r>
        <w:rPr>
          <w:color w:val="000000"/>
        </w:rPr>
        <w:t xml:space="preserve"> temporária de participação em licitação e impedimento de contratar com a Administração Pública, por prazo não superior a 02 (dois) anos, nos termos do art. 87, III, da Lei nº 8.666/93;</w:t>
      </w:r>
    </w:p>
    <w:p w:rsidR="00DD3A34" w:rsidRDefault="00CF024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impedimento para licitar e contratar com a Administração Pública Estadual pelo prazo de até 05 (cinco) anos, sem prejuízo das multas previstas em edital e no contrato e das demais cominações legais, especificamente nas hipóteses em que o licitante, convocado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nos termos do art. 7º da Lei nº 10.520/2002 e o art. 28 do Decreto 2.458-R/2010;</w:t>
      </w:r>
    </w:p>
    <w:p w:rsidR="00DD3A34" w:rsidRDefault="00CF024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proofErr w:type="gramStart"/>
      <w:r>
        <w:rPr>
          <w:color w:val="000000"/>
        </w:rPr>
        <w:t>declaração</w:t>
      </w:r>
      <w:proofErr w:type="gramEnd"/>
      <w:r>
        <w:rPr>
          <w:color w:val="000000"/>
        </w:rPr>
        <w:t xml:space="preserve"> de inidoneidade para licitar ou contratar com a Administração Pública, em toda a Federação,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na alínea “c”.</w:t>
      </w:r>
    </w:p>
    <w:p w:rsidR="00DD3A34" w:rsidRDefault="00CF024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 sanções previstas nas alíneas “a”, “c”; “d” e “e” deste item, não são cumulativas entre si, mas poderão ser aplicadas juntamente com a multa compensatória por perdas e danos (alínea “b”).</w:t>
      </w:r>
    </w:p>
    <w:p w:rsidR="00DD3A34" w:rsidRDefault="00CF024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Quando imposta uma das sanções previstas nas alíneas “c”, “d” e “e”, a autoridade competente submeterá sua decisão ao Secretário de Estado de Gestão e Recursos Humanos - SEGER, a fim de que, se confirmada, tenha efeito perante a Administração Pública Estadual.</w:t>
      </w:r>
    </w:p>
    <w:p w:rsidR="00DD3A34" w:rsidRDefault="00CF024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Caso as sanções referidas no parágrafo anterior não sejam confirmadas pelo Secretário de Estado de Gestão e Recursos Humanos - SEGER, competirá ao órgão promotor do certame, por intermédio de sua autoridade competente, decidir sobre a aplicação ou não das demais modalidades sancionatórias.</w:t>
      </w:r>
    </w:p>
    <w:p w:rsidR="00DD3A34" w:rsidRDefault="00CF024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Confirmada a aplicação de quaisquer das sanções administrativas previstas neste item, competirá ao órgão promotor do certame proceder com o registro da ocorrência no CRC/ES, e a SEGER, no SICAF, em campo apropriado. No caso da aplicação da sanção prevista na alínea “d”, deverá, ainda, ser solicitado o descredenciamento do licitante no SICAF e no CRC/ES.</w:t>
      </w:r>
    </w:p>
    <w:p w:rsidR="00DD3A34" w:rsidRDefault="00CF02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 sanções administrativas somente serão aplicadas mediante regular processo administrativo, assegurada a ampla defesa e o contraditório, observando-se as seguintes regras: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Antes da aplicação de qualquer sanção administrativa, o órgão promotor do certame deverá notificar o licitante contratado, facultando-lhe a apresentação de defesa prévia;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A notificação deverá ocorrer pessoalmente ou por correspondência com aviso de recebimento, indicando, no mínimo: a conduta do licitante contratado reputada como infratora, a motivação para aplicação da penalidade, a sanção que se pretende aplicar, o prazo e o local de entrega das razões de defesa;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lastRenderedPageBreak/>
        <w:t>O prazo para apresentação de defesa prévia será de 05 (cinco) dias úteis a contar da intimação, exceto na hipótese de declaração de inidoneidade, em que o prazo será de 10 (dez) dias consecutivos, devendo, em ambos os casos, ser observada a regra do art. 110 da Lei 8.666/1993;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O licitante contratado comunicará ao órgão promotor do certame as mudanças de endereço ocorridas no curso do processo licitatório e da vigência do contrato, considerando-se eficazes as notificações enviadas ao local anteriormente indicado, na ausência da comunicação;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Ofertada a defesa prévia ou expirado o prazo sem que ocorra a sua apresentação, o órgão promotor do certame proferirá decisão fundamentada e adotará as medidas legais cabíveis, resguardado o direito de recurso do licitante que deverá ser exercido nos termos da Lei 8.666/1993;</w:t>
      </w:r>
    </w:p>
    <w:p w:rsidR="00DD3A34" w:rsidRDefault="00CF0245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color w:val="000000"/>
        </w:rPr>
        <w:t>O recurso administrativo a que se refere a alínea anterior será submetido à análise da Procuradoria Geral do Estado do Espírito Santo.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9.4 - </w:t>
      </w:r>
      <w:r>
        <w:rPr>
          <w:color w:val="000000"/>
        </w:rPr>
        <w:t>Os montantes relativos às multas moratória e compensatória aplicadas pela Administração poderão ser cobrados judicialmente ou descontados dos valores devidos ao licitante contratado, relativos às parcelas efetivamente executadas do contrato;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9.5 - </w:t>
      </w:r>
      <w:r>
        <w:rPr>
          <w:color w:val="000000"/>
        </w:rPr>
        <w:t>Nas hipóteses em que os fatos ensejadores da aplicação das multas acarretarem também a rescisão do contrato, os valores referentes às penalidades poderão ainda ser descontados da garantia prestada pela contratada;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9.6 - </w:t>
      </w:r>
      <w:r>
        <w:rPr>
          <w:color w:val="000000"/>
        </w:rPr>
        <w:t>Em qualquer caso, se após o desconto dos valores relativos às multas restar valor residual em desfavor do licitante contratado, é obrigatória a cobrança judicial da diferença.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9.7</w:t>
      </w:r>
      <w:r w:rsidR="006D5111">
        <w:t xml:space="preserve"> -</w:t>
      </w:r>
      <w:r>
        <w:t xml:space="preserve"> </w:t>
      </w:r>
      <w:r>
        <w:rPr>
          <w:color w:val="000000"/>
        </w:rPr>
        <w:t>Sem prejuízo da aplicação das sanções acima descritas, a prática de quaisquer atos lesivos à administração pública na licitação ou na execução do contrato, nos termos da Lei 12.846/2013, será objeto de imediata apuração observando-se o devido processo legal estabelecido no marco regulatório estadual anticorrupção.</w:t>
      </w:r>
    </w:p>
    <w:p w:rsidR="00DD3A34" w:rsidRDefault="00CF0245">
      <w:pPr>
        <w:pStyle w:val="Ttulo1"/>
      </w:pPr>
      <w:r>
        <w:t>10 CLÁUSULA DÉCIMA: DA SUPERVENIENTE IRREGULARIDADE FISCAL OU TRABALHISTA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10.1 - </w:t>
      </w:r>
      <w:r>
        <w:rPr>
          <w:color w:val="000000"/>
        </w:rPr>
        <w:t>Constatado que o CONTRATADO não se encontra em situação de regularidade fiscal ou trabalhista, o mesmo será notificado para no prazo de 10 (dez) dias úteis regularizar tal situação ou, no mesmo prazo, apresentar defesa, observando-se o procedimento de aplicação de sanções.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10.2 - </w:t>
      </w:r>
      <w:r>
        <w:rPr>
          <w:color w:val="000000"/>
        </w:rPr>
        <w:t>Transcorrido esse prazo, ainda que não comprovada a regularidade e que não seja aceita a defesa apresentada, o pagamento será efetuado, sem prejuízo da tramitação do procedimento de aplicação de sanções.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10.3 - </w:t>
      </w:r>
      <w:r>
        <w:rPr>
          <w:color w:val="000000"/>
        </w:rPr>
        <w:t>Em não sendo aceitas as justificativas apresentadas pelo CONTRATADO, será imposta multa de 2% (dois por cento) sobre o saldo contratual não executado.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</w:pPr>
      <w:r>
        <w:t xml:space="preserve">10.4 - </w:t>
      </w:r>
      <w:r>
        <w:rPr>
          <w:color w:val="000000"/>
        </w:rPr>
        <w:t xml:space="preserve">Depois de transcorridos 30 (trinta) dias úteis da notificação da multa, se a empresa não regularizar a pendência fiscal ou trabalhista, deverá a Administração decidir sobre </w:t>
      </w:r>
      <w:r>
        <w:rPr>
          <w:color w:val="000000"/>
        </w:rPr>
        <w:lastRenderedPageBreak/>
        <w:t>iniciar ou não procedimento de rescisão do contrato, podendo deixar de fazê-lo se reputar que a extinção antecipada do contrato ocasionará expressivos prejuízos ao interesse público</w:t>
      </w:r>
      <w:r>
        <w:t>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10.5 - </w:t>
      </w:r>
      <w:r>
        <w:rPr>
          <w:color w:val="000000"/>
        </w:rPr>
        <w:t>Em se tratando de irregularidade fiscal decorrente de crédito estadual, o CONTRATANTE informará à Procuradoria Fiscal da Procuradoria Geral do Estado sobre os créditos em favor da empresa, antes mesmo da notificação à empresa.</w:t>
      </w:r>
    </w:p>
    <w:p w:rsidR="00DD3A34" w:rsidRDefault="00CF0245">
      <w:pPr>
        <w:pStyle w:val="Ttulo1"/>
      </w:pPr>
      <w:r>
        <w:t>11. CLÁUSULA DÉCIMA PRIMEIRA: DOS ADITAMENTOS</w:t>
      </w:r>
    </w:p>
    <w:p w:rsidR="00DD3A34" w:rsidRPr="0092484F" w:rsidRDefault="00CF0245">
      <w:pPr>
        <w:pBdr>
          <w:top w:val="nil"/>
          <w:left w:val="nil"/>
          <w:bottom w:val="nil"/>
          <w:right w:val="nil"/>
          <w:between w:val="nil"/>
        </w:pBdr>
      </w:pPr>
      <w:r>
        <w:t xml:space="preserve">11.1 - </w:t>
      </w:r>
      <w:r>
        <w:rPr>
          <w:color w:val="000000"/>
        </w:rPr>
        <w:t xml:space="preserve">O presente contrato poderá ser aditado nos termos previstos na Lei 8.666/1993, </w:t>
      </w:r>
      <w:r w:rsidR="00BC1DB2">
        <w:rPr>
          <w:color w:val="000000"/>
        </w:rPr>
        <w:t xml:space="preserve">na </w:t>
      </w:r>
      <w:r w:rsidR="00BC1DB2" w:rsidRPr="0092484F">
        <w:t>Lei Complementar Estadual nº 946/2020 (artigo 9º) e na Lei Federal 13.979/2020 (e artigo 4º-I introduzido pela MP 926/20), ficando a Contratada</w:t>
      </w:r>
      <w:r w:rsidR="006D5111" w:rsidRPr="0092484F">
        <w:t xml:space="preserve"> </w:t>
      </w:r>
      <w:r w:rsidR="00BC1DB2" w:rsidRPr="0092484F">
        <w:t>obrigada a aceitar</w:t>
      </w:r>
      <w:r w:rsidR="00BC1DB2" w:rsidRPr="0092484F">
        <w:rPr>
          <w:color w:val="000000"/>
        </w:rPr>
        <w:t xml:space="preserve"> </w:t>
      </w:r>
      <w:r w:rsidR="00C738CF" w:rsidRPr="0092484F">
        <w:rPr>
          <w:color w:val="000000"/>
        </w:rPr>
        <w:t xml:space="preserve">acréscimos e supressões </w:t>
      </w:r>
      <w:r w:rsidR="00BC1DB2" w:rsidRPr="0092484F">
        <w:rPr>
          <w:color w:val="000000"/>
        </w:rPr>
        <w:t xml:space="preserve">em até </w:t>
      </w:r>
      <w:r w:rsidRPr="0092484F">
        <w:rPr>
          <w:color w:val="000000"/>
        </w:rPr>
        <w:t>50</w:t>
      </w:r>
      <w:r w:rsidRPr="0092484F">
        <w:t>% (cinquenta por cento)</w:t>
      </w:r>
      <w:r w:rsidR="00C738CF" w:rsidRPr="0092484F">
        <w:t xml:space="preserve"> do valor </w:t>
      </w:r>
      <w:r w:rsidR="00BC1DB2" w:rsidRPr="0092484F">
        <w:t>inicial atualizado do contrato.</w:t>
      </w:r>
    </w:p>
    <w:p w:rsidR="00DD3A34" w:rsidRDefault="00CF0245">
      <w:pPr>
        <w:pStyle w:val="Ttulo1"/>
      </w:pPr>
      <w:r>
        <w:t>12. CLÁUSULA DÉCIMA SEGUNDA: DA RESCISÃO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12.1 - </w:t>
      </w:r>
      <w:r>
        <w:rPr>
          <w:color w:val="000000"/>
        </w:rPr>
        <w:t xml:space="preserve">A rescisão do Contrato poderá ocorrer nas hipóteses e condições previstas nos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>. 78 e 79 da Lei 8.666/1993, com aplicação do art. 80 da mesma Lei, se for o caso.</w:t>
      </w:r>
    </w:p>
    <w:p w:rsidR="00DD3A34" w:rsidRDefault="00CF0245">
      <w:pPr>
        <w:pStyle w:val="Ttulo1"/>
      </w:pPr>
      <w:r>
        <w:t>13. CLÁUSULA DÉCIMA TERCEIRA: DOS RECURSOS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13.1 - </w:t>
      </w:r>
      <w:r>
        <w:rPr>
          <w:color w:val="000000"/>
        </w:rPr>
        <w:t>Os recursos, representação e pedido de reconsideração, somente serão acolhidos nos termos do art. 109 da Lei 8.666/1993.</w:t>
      </w:r>
    </w:p>
    <w:p w:rsidR="00DD3A34" w:rsidRDefault="00CF0245">
      <w:pPr>
        <w:pStyle w:val="Ttulo1"/>
      </w:pPr>
      <w:r>
        <w:t>14. CLÁUSULA DÉCIMA QUARTA: DO ACOMPANHAMENTO E FISCALIZAÇÃO</w:t>
      </w:r>
    </w:p>
    <w:p w:rsidR="00DD3A34" w:rsidRDefault="00CF0245">
      <w:r>
        <w:t xml:space="preserve">14.1 - A execução do contrato será acompanhada </w:t>
      </w:r>
      <w:proofErr w:type="gramStart"/>
      <w:r>
        <w:t>pelo(</w:t>
      </w:r>
      <w:proofErr w:type="gramEnd"/>
      <w:r>
        <w:t>a) (UNIDADE DO ÓRGÃO), designado representante da Administração nos term</w:t>
      </w:r>
      <w:r w:rsidR="0000622A">
        <w:t>os do art. 67 da Lei 8.666/1993 e Portaria SEGER/SECONT/PGE 049/10,</w:t>
      </w:r>
      <w:r>
        <w:t xml:space="preserve"> que deverá atestar a execução do objeto contratado, observadas as disposições deste Contrato, sem o que não será permitido qualquer pagamento.</w:t>
      </w:r>
    </w:p>
    <w:p w:rsidR="00DD3A34" w:rsidRDefault="00CF0245">
      <w:pPr>
        <w:pStyle w:val="Ttulo1"/>
      </w:pPr>
      <w:r>
        <w:t>15. CLÁUSULA DÉCIMA QUINTA: DO REPRESENTANTE DA CONTRATADA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15.1 - </w:t>
      </w:r>
      <w:r>
        <w:rPr>
          <w:color w:val="000000"/>
        </w:rPr>
        <w:t>Representará a Contratada na execução do ajuste, como preposto, _____________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>nome completo, nacionalidade, profissão e estado civil do representante da empresa).</w:t>
      </w:r>
    </w:p>
    <w:p w:rsidR="00DD3A34" w:rsidRDefault="00CF0245">
      <w:pPr>
        <w:pStyle w:val="Ttulo1"/>
      </w:pPr>
      <w:r>
        <w:t>16. CLÁUSULA DÉCIMA SEXTA: DO FORO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16.1 - </w:t>
      </w:r>
      <w:r>
        <w:rPr>
          <w:color w:val="000000"/>
        </w:rPr>
        <w:t>Fica eleito o foro de Vitória, Comarca da Capital do Estado do Espírito Santo, para dirimir qualquer dúvida ou contestação oriunda direta ou indiretamente deste instrumento, renunciando-se expressamente a qualquer outro, por mais privilegiado que seja.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E, por estarem justos e contratados, assinam o presente em três vias de igual teor e forma, para igual distribuição, para que produza seus efeitos legais.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Vitória, ____ de 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______.</w:t>
      </w: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CONTRATANTE</w:t>
      </w: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</w:t>
      </w:r>
    </w:p>
    <w:p w:rsidR="00DD3A34" w:rsidRDefault="00CF0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CONTRATADA</w:t>
      </w:r>
    </w:p>
    <w:p w:rsidR="00DD3A34" w:rsidRDefault="00DD3A34">
      <w:pPr>
        <w:pStyle w:val="Ttulo2"/>
      </w:pPr>
    </w:p>
    <w:p w:rsidR="00DD3A34" w:rsidRDefault="00DD3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D3A34">
      <w:pgSz w:w="11906" w:h="16838"/>
      <w:pgMar w:top="1418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371"/>
    <w:multiLevelType w:val="multilevel"/>
    <w:tmpl w:val="57DADD4E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0" w:firstLine="0"/>
      </w:pPr>
      <w:rPr>
        <w:strike w:val="0"/>
      </w:rPr>
    </w:lvl>
    <w:lvl w:ilvl="2">
      <w:start w:val="1"/>
      <w:numFmt w:val="decimal"/>
      <w:lvlText w:val="%1.%2.%3 -"/>
      <w:lvlJc w:val="left"/>
      <w:pPr>
        <w:ind w:left="284" w:firstLine="0"/>
      </w:pPr>
    </w:lvl>
    <w:lvl w:ilvl="3">
      <w:start w:val="1"/>
      <w:numFmt w:val="decimal"/>
      <w:lvlText w:val="%1.%2.%3.%4 -"/>
      <w:lvlJc w:val="left"/>
      <w:pPr>
        <w:ind w:left="567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138510E0"/>
    <w:multiLevelType w:val="multilevel"/>
    <w:tmpl w:val="3CF29A3E"/>
    <w:lvl w:ilvl="0">
      <w:start w:val="9"/>
      <w:numFmt w:val="decimal"/>
      <w:lvlText w:val="%1 -"/>
      <w:lvlJc w:val="left"/>
      <w:pPr>
        <w:ind w:left="0" w:firstLine="0"/>
      </w:pPr>
    </w:lvl>
    <w:lvl w:ilvl="1">
      <w:start w:val="2"/>
      <w:numFmt w:val="decimal"/>
      <w:lvlText w:val="%1.%2 -"/>
      <w:lvlJc w:val="left"/>
      <w:pPr>
        <w:ind w:left="0" w:firstLine="0"/>
      </w:pPr>
      <w:rPr>
        <w:strike w:val="0"/>
      </w:rPr>
    </w:lvl>
    <w:lvl w:ilvl="2">
      <w:start w:val="1"/>
      <w:numFmt w:val="decimal"/>
      <w:lvlText w:val="%1.%2.%3 -"/>
      <w:lvlJc w:val="left"/>
      <w:pPr>
        <w:ind w:left="284" w:firstLine="0"/>
      </w:pPr>
    </w:lvl>
    <w:lvl w:ilvl="3">
      <w:start w:val="1"/>
      <w:numFmt w:val="decimal"/>
      <w:lvlText w:val="%1.%2.%3.%4 -"/>
      <w:lvlJc w:val="left"/>
      <w:pPr>
        <w:ind w:left="567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3EDF2A76"/>
    <w:multiLevelType w:val="multilevel"/>
    <w:tmpl w:val="32427006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0" w:firstLine="0"/>
      </w:pPr>
      <w:rPr>
        <w:strike w:val="0"/>
      </w:rPr>
    </w:lvl>
    <w:lvl w:ilvl="2">
      <w:start w:val="1"/>
      <w:numFmt w:val="decimal"/>
      <w:lvlText w:val="%1.%2.%3 -"/>
      <w:lvlJc w:val="left"/>
      <w:pPr>
        <w:ind w:left="284" w:firstLine="0"/>
      </w:pPr>
    </w:lvl>
    <w:lvl w:ilvl="3">
      <w:start w:val="1"/>
      <w:numFmt w:val="decimal"/>
      <w:lvlText w:val="%1.%2.%3.%4 -"/>
      <w:lvlJc w:val="left"/>
      <w:pPr>
        <w:ind w:left="567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7C73217F"/>
    <w:multiLevelType w:val="multilevel"/>
    <w:tmpl w:val="88C6A756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0" w:firstLine="0"/>
      </w:pPr>
      <w:rPr>
        <w:strike w:val="0"/>
      </w:rPr>
    </w:lvl>
    <w:lvl w:ilvl="2">
      <w:start w:val="1"/>
      <w:numFmt w:val="decimal"/>
      <w:lvlText w:val="%1.%2.%3 -"/>
      <w:lvlJc w:val="left"/>
      <w:pPr>
        <w:ind w:left="284" w:firstLine="0"/>
      </w:pPr>
    </w:lvl>
    <w:lvl w:ilvl="3">
      <w:start w:val="1"/>
      <w:numFmt w:val="decimal"/>
      <w:lvlText w:val="%1.%2.%3.%4 -"/>
      <w:lvlJc w:val="left"/>
      <w:pPr>
        <w:ind w:left="567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34"/>
    <w:rsid w:val="0000622A"/>
    <w:rsid w:val="00093C16"/>
    <w:rsid w:val="003E3F73"/>
    <w:rsid w:val="005B175D"/>
    <w:rsid w:val="005C2855"/>
    <w:rsid w:val="006305B1"/>
    <w:rsid w:val="006D5111"/>
    <w:rsid w:val="00833106"/>
    <w:rsid w:val="008439E9"/>
    <w:rsid w:val="00920FC7"/>
    <w:rsid w:val="0092484F"/>
    <w:rsid w:val="00A02B80"/>
    <w:rsid w:val="00A82A54"/>
    <w:rsid w:val="00B32133"/>
    <w:rsid w:val="00BC1DB2"/>
    <w:rsid w:val="00C738CF"/>
    <w:rsid w:val="00CF0245"/>
    <w:rsid w:val="00DD3A34"/>
    <w:rsid w:val="00F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06511-2316-4682-9518-10709EC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Ttulo4">
    <w:name w:val="heading 4"/>
    <w:basedOn w:val="Normal"/>
    <w:next w:val="Normal"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360" w:after="360"/>
      <w:jc w:val="center"/>
    </w:pPr>
    <w:rPr>
      <w:b/>
      <w:i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A8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3764</Words>
  <Characters>20327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 Campana Souto Gama</dc:creator>
  <cp:lastModifiedBy>Iuri Carlyle do A. Almeida Madruga</cp:lastModifiedBy>
  <cp:revision>2</cp:revision>
  <dcterms:created xsi:type="dcterms:W3CDTF">2020-04-01T21:35:00Z</dcterms:created>
  <dcterms:modified xsi:type="dcterms:W3CDTF">2020-04-01T21:35:00Z</dcterms:modified>
</cp:coreProperties>
</file>